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Terms of Sale</w:t>
      </w:r>
    </w:p>
    <w:p>
      <w:pPr>
        <w:pStyle w:val="Subtitle"/>
      </w:pPr>
      <w:r>
        <w:t xml:space="preserve">Wild Hearts Publishing Pty Ltd</w:t>
      </w:r>
    </w:p>
    <w:p>
      <w:pPr>
        <w:pBdr>
          <w:bottom w:val="single" w:color="2E5A88" w:sz="12" w:space="1"/>
        </w:pBdr>
        <w:spacing w:after="200"/>
      </w:pPr>
    </w:p>
    <w:p>
      <w:pPr>
        <w:spacing w:after="120" w:line="276"/>
      </w:pPr>
      <w:r>
        <w:rPr>
          <w:b/>
          <w:bCs/>
          <w:color w:val="B03030"/>
        </w:rPr>
        <w:t xml:space="preserve">Last updated: [date]</w:t>
      </w:r>
    </w:p>
    <w:p>
      <w:pPr>
        <w:spacing w:after="120" w:line="276"/>
      </w:pPr>
      <w:r>
        <w:t xml:space="preserve">These Terms of Sale govern your purchase of services from Wild Hearts Publishing Pty Ltd (</w:t>
      </w:r>
      <w:r>
        <w:t xml:space="preserve">ACN 695 911 025, ABN 34 695 911 025</w:t>
      </w:r>
      <w:r>
        <w:t xml:space="preserve">) (“we”, “us”, “our”). They apply in addition to our Website Terms of Use, Privacy Policy and AI and Liability Disclaimer. By placing an order you agree to these terms.</w:t>
      </w:r>
    </w:p>
    <w:p>
      <w:pPr>
        <w:pStyle w:val="Heading1"/>
      </w:pPr>
      <w:r>
        <w:t xml:space="preserve">1. Our services</w:t>
      </w:r>
    </w:p>
    <w:p>
      <w:pPr>
        <w:spacing w:after="120" w:line="276"/>
      </w:pPr>
      <w:r>
        <w:t xml:space="preserve">We offer AI-assisted manuscript review and publishing services in tiers (currently First Light, Bright Signal and Full Flight). The inclusions, turnaround and current price of each tier are set out on our website and may change from time to time. The version shown at the time you order applies to your order.</w:t>
      </w:r>
    </w:p>
    <w:p>
      <w:pPr>
        <w:pStyle w:val="Heading1"/>
      </w:pPr>
      <w:r>
        <w:t xml:space="preserve">2. Orders and acceptance</w:t>
      </w:r>
    </w:p>
    <w:p>
      <w:pPr>
        <w:spacing w:after="120" w:line="276"/>
      </w:pPr>
      <w:r>
        <w:t xml:space="preserve">Your order is an offer to purchase. A contract forms when we confirm your order or begin providing the service, whichever is first.</w:t>
      </w:r>
    </w:p>
    <w:p>
      <w:pPr>
        <w:pStyle w:val="Heading1"/>
      </w:pPr>
      <w:r>
        <w:t xml:space="preserve">3. Price and payment</w:t>
      </w:r>
    </w:p>
    <w:p>
      <w:pPr>
        <w:spacing w:after="120" w:line="276"/>
      </w:pPr>
      <w:r>
        <w:t xml:space="preserve">All prices are in Australian dollars. We are not currently registered for GST, so no GST is charged. Payment is processed by our third party payment provider at the time of order. We do not store your full card details.</w:t>
      </w:r>
    </w:p>
    <w:p>
      <w:pPr>
        <w:pStyle w:val="Heading1"/>
      </w:pPr>
      <w:r>
        <w:t xml:space="preserve">4. Turnaround</w:t>
      </w:r>
    </w:p>
    <w:p>
      <w:pPr>
        <w:spacing w:after="120" w:line="276"/>
      </w:pPr>
      <w:r>
        <w:t xml:space="preserve">Stated turnaround times (for example, 15 to 30 minutes for First Light, or up to 72 hours for higher tiers) are estimates made in good faith, not guarantees. We are not liable for delays caused by factors outside our reasonable control, including third party provider outages.</w:t>
      </w:r>
    </w:p>
    <w:p>
      <w:pPr>
        <w:pStyle w:val="Heading1"/>
      </w:pPr>
      <w:r>
        <w:t xml:space="preserve">5. AI-assisted services</w:t>
      </w:r>
    </w:p>
    <w:p>
      <w:pPr>
        <w:spacing w:after="120" w:line="276"/>
      </w:pPr>
      <w:r>
        <w:t xml:space="preserve">Our review services are produced wholly or partly using artificial intelligence, including third party AI models. All output is automated analysis provided for your assistance only, and is subject to our AI and Liability Disclaimer. It is not professional advice, certification or a guarantee of any outcome.</w:t>
      </w:r>
    </w:p>
    <w:p>
      <w:pPr>
        <w:pStyle w:val="Heading1"/>
      </w:pPr>
      <w:r>
        <w:t xml:space="preserve">6. Intellectual property</w:t>
      </w:r>
    </w:p>
    <w:p>
      <w:pPr>
        <w:spacing w:after="120" w:line="276"/>
      </w:pPr>
      <w:r>
        <w:t xml:space="preserve">You retain all intellectual property rights in your manuscript and in any report we deliver to you. You grant us a limited, non-exclusive licence to access, process, transmit to our service providers and temporarily store your manuscript only to the extent necessary to provide the service you have ordered. We claim no ownership of your work and do not authorise its use to train AI models. Publishing and distribution under Full Flight is governed by a separate Publishing and Distribution Agreement.</w:t>
      </w:r>
    </w:p>
    <w:p>
      <w:pPr>
        <w:pStyle w:val="Heading1"/>
      </w:pPr>
      <w:r>
        <w:t xml:space="preserve">7. Your warranties</w:t>
      </w:r>
    </w:p>
    <w:p>
      <w:pPr>
        <w:spacing w:after="120" w:line="276"/>
      </w:pPr>
      <w:r>
        <w:t xml:space="preserve">By submitting any manuscript or other material, you warrant that:</w:t>
      </w:r>
    </w:p>
    <w:p>
      <w:pPr>
        <w:pStyle w:val="ListParagraph"/>
        <w:numPr>
          <w:ilvl w:val="0"/>
          <w:numId w:val="2"/>
        </w:numPr>
        <w:spacing w:after="60" w:line="276"/>
      </w:pPr>
      <w:r>
        <w:t xml:space="preserve">you own it or are otherwise entitled to submit it and have it processed by us and our AI providers;</w:t>
      </w:r>
    </w:p>
    <w:p>
      <w:pPr>
        <w:pStyle w:val="ListParagraph"/>
        <w:numPr>
          <w:ilvl w:val="0"/>
          <w:numId w:val="2"/>
        </w:numPr>
        <w:spacing w:after="60" w:line="276"/>
      </w:pPr>
      <w:r>
        <w:t xml:space="preserve">it does not infringe the copyright, moral rights, trade marks or other rights of any person;</w:t>
      </w:r>
    </w:p>
    <w:p>
      <w:pPr>
        <w:pStyle w:val="ListParagraph"/>
        <w:numPr>
          <w:ilvl w:val="0"/>
          <w:numId w:val="2"/>
        </w:numPr>
        <w:spacing w:after="60" w:line="276"/>
      </w:pPr>
      <w:r>
        <w:t xml:space="preserve">it is not defamatory, unlawful, or in breach of any obligation of confidence or privacy; and</w:t>
      </w:r>
    </w:p>
    <w:p>
      <w:pPr>
        <w:pStyle w:val="ListParagraph"/>
        <w:numPr>
          <w:ilvl w:val="0"/>
          <w:numId w:val="2"/>
        </w:numPr>
        <w:spacing w:after="60" w:line="276"/>
      </w:pPr>
      <w:r>
        <w:t xml:space="preserve">you hold all consents necessary for us to process it as described in our Privacy Policy.</w:t>
      </w:r>
    </w:p>
    <w:p>
      <w:pPr>
        <w:pStyle w:val="Heading1"/>
      </w:pPr>
      <w:r>
        <w:t xml:space="preserve">8. Acceptable use</w:t>
      </w:r>
    </w:p>
    <w:p>
      <w:pPr>
        <w:spacing w:after="120" w:line="276"/>
      </w:pPr>
      <w:r>
        <w:t xml:space="preserve">You must not submit material that is unlawful, infringes any person's rights, contains content you are not entitled to share, or is designed to misuse our systems. We may decline or stop processing any submission that breaches this clause, and refund on a fair basis for work not yet performed.</w:t>
      </w:r>
    </w:p>
    <w:p>
      <w:pPr>
        <w:pStyle w:val="Heading1"/>
      </w:pPr>
      <w:r>
        <w:t xml:space="preserve">9. Indemnity</w:t>
      </w:r>
    </w:p>
    <w:p>
      <w:pPr>
        <w:spacing w:after="120" w:line="276"/>
      </w:pPr>
      <w:r>
        <w:t xml:space="preserve">You indemnify us against any claim, loss, liability, cost or expense arising out of or in connection with material you submit, including any breach of the warranties in clause 7 or any third party claim relating to that material.</w:t>
      </w:r>
    </w:p>
    <w:p>
      <w:pPr>
        <w:pStyle w:val="Heading1"/>
      </w:pPr>
      <w:r>
        <w:t xml:space="preserve">10. Limitation of liability</w:t>
      </w:r>
    </w:p>
    <w:p>
      <w:pPr>
        <w:spacing w:after="120" w:line="276"/>
      </w:pPr>
      <w:r>
        <w:t xml:space="preserve">To the maximum extent permitted by law, we are not liable for any indirect or consequential loss, loss of profits, loss of opportunity or loss of data arising out of or in connection with our services or any AI-generated output. Nothing in these terms excludes, restricts or modifies any consumer guarantee or other right that cannot lawfully be excluded under the Australian Consumer Law. Where our liability for failing to comply with such a guarantee can be limited, it is limited, at our option, to resupplying the relevant service or paying the cost of resupply. In any event, our total liability to you is limited to the fees you have paid us for the relevant service.</w:t>
      </w:r>
    </w:p>
    <w:p>
      <w:pPr>
        <w:pStyle w:val="Heading1"/>
      </w:pPr>
      <w:r>
        <w:t xml:space="preserve">11. Cancellation and refunds</w:t>
      </w:r>
    </w:p>
    <w:p>
      <w:pPr>
        <w:spacing w:after="120" w:line="276"/>
      </w:pPr>
      <w:r>
        <w:t xml:space="preserve">Your rights to cancel and obtain a refund are set out in our Refund Policy, which forms part of these terms and operates consistently with the Australian Consumer Law.</w:t>
      </w:r>
    </w:p>
    <w:p>
      <w:pPr>
        <w:pStyle w:val="Heading1"/>
      </w:pPr>
      <w:r>
        <w:t xml:space="preserve">12. Confidentiality and data</w:t>
      </w:r>
    </w:p>
    <w:p>
      <w:pPr>
        <w:spacing w:after="120" w:line="276"/>
      </w:pPr>
      <w:r>
        <w:t xml:space="preserve">We handle your manuscript and personal information in accordance with our Privacy Policy. We delete your manuscript from our active systems after your review has been delivered.</w:t>
      </w:r>
    </w:p>
    <w:p>
      <w:pPr>
        <w:pStyle w:val="Heading1"/>
      </w:pPr>
      <w:r>
        <w:t xml:space="preserve">13. Termination</w:t>
      </w:r>
    </w:p>
    <w:p>
      <w:pPr>
        <w:spacing w:after="120" w:line="276"/>
      </w:pPr>
      <w:r>
        <w:t xml:space="preserve">We may suspend or end your access to the services if you breach these terms. Clauses that by their nature should survive termination (including clauses 6, 7, 9 and 10) continue to apply.</w:t>
      </w:r>
    </w:p>
    <w:p>
      <w:pPr>
        <w:pStyle w:val="Heading1"/>
      </w:pPr>
      <w:r>
        <w:t xml:space="preserve">14. Governing law</w:t>
      </w:r>
    </w:p>
    <w:p>
      <w:pPr>
        <w:spacing w:after="120" w:line="276"/>
      </w:pPr>
      <w:r>
        <w:t xml:space="preserve">These terms are governed by the laws of the Australian Capital Territory, and you submit to the non-exclusive jurisdiction of its courts.</w:t>
      </w:r>
    </w:p>
    <w:p>
      <w:pPr>
        <w:pStyle w:val="Heading1"/>
      </w:pPr>
      <w:r>
        <w:t xml:space="preserve">15. General</w:t>
      </w:r>
    </w:p>
    <w:p>
      <w:pPr>
        <w:spacing w:after="120" w:line="276"/>
      </w:pPr>
      <w:r>
        <w:t xml:space="preserve">If any provision is unenforceable, it is severed and the rest continues. These terms, with the documents they refer to, are the entire agreement between us. We may update these terms, and the current version is always on our website.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Terms of Sale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2026-06-02T05:23:56.084Z</dcterms:created>
  <dcterms:modified xsi:type="dcterms:W3CDTF">2026-06-02T05:23:56.084Z</dcterms:modified>
</cp:coreProperties>
</file>

<file path=docProps/custom.xml><?xml version="1.0" encoding="utf-8"?>
<Properties xmlns="http://schemas.openxmlformats.org/officeDocument/2006/custom-properties" xmlns:vt="http://schemas.openxmlformats.org/officeDocument/2006/docPropsVTypes"/>
</file>